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33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150"/>
        <w:gridCol w:w="4680"/>
        <w:gridCol w:w="2610"/>
      </w:tblGrid>
      <w:tr w:rsidR="00D82A87" w14:paraId="15B2D842" w14:textId="77777777" w:rsidTr="00D82A87">
        <w:trPr>
          <w:cantSplit/>
          <w:trHeight w:val="292"/>
        </w:trPr>
        <w:tc>
          <w:tcPr>
            <w:tcW w:w="3150" w:type="dxa"/>
            <w:vAlign w:val="center"/>
          </w:tcPr>
          <w:p w14:paraId="474BAACB" w14:textId="77777777" w:rsidR="00D82A87" w:rsidRDefault="00D82A87" w:rsidP="00556DB8">
            <w:pPr>
              <w:spacing w:before="60" w:after="60"/>
              <w:jc w:val="center"/>
              <w:rPr>
                <w:rFonts w:ascii="Arial" w:hAnsi="Arial"/>
                <w:iCs/>
                <w:sz w:val="22"/>
              </w:rPr>
            </w:pPr>
            <w:r>
              <w:rPr>
                <w:rFonts w:ascii="Arial" w:hAnsi="Arial" w:cs="Arial"/>
                <w:caps/>
                <w:smallCaps/>
                <w:noProof/>
                <w:lang w:val="en-IN" w:eastAsia="en-IN"/>
              </w:rPr>
              <w:drawing>
                <wp:inline distT="0" distB="0" distL="0" distR="0" wp14:anchorId="0E1F3356" wp14:editId="5E012ECD">
                  <wp:extent cx="1189355" cy="582930"/>
                  <wp:effectExtent l="0" t="0" r="0" b="7620"/>
                  <wp:docPr id="2" name="Picture 2" descr="Ast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i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355" cy="582930"/>
                          </a:xfrm>
                          <a:prstGeom prst="rect">
                            <a:avLst/>
                          </a:prstGeom>
                          <a:noFill/>
                          <a:ln>
                            <a:noFill/>
                          </a:ln>
                        </pic:spPr>
                      </pic:pic>
                    </a:graphicData>
                  </a:graphic>
                </wp:inline>
              </w:drawing>
            </w:r>
          </w:p>
        </w:tc>
        <w:tc>
          <w:tcPr>
            <w:tcW w:w="7290" w:type="dxa"/>
            <w:gridSpan w:val="2"/>
            <w:vAlign w:val="center"/>
          </w:tcPr>
          <w:p w14:paraId="3CE4197E" w14:textId="77777777" w:rsidR="00D82A87" w:rsidRDefault="00D82A87" w:rsidP="00556DB8">
            <w:pPr>
              <w:spacing w:before="60" w:after="60"/>
              <w:jc w:val="center"/>
              <w:rPr>
                <w:rFonts w:ascii="Arial" w:hAnsi="Arial"/>
                <w:iCs/>
                <w:sz w:val="22"/>
              </w:rPr>
            </w:pPr>
            <w:r w:rsidRPr="00BF122B">
              <w:rPr>
                <w:rFonts w:ascii="Arial" w:hAnsi="Arial"/>
                <w:b/>
                <w:iCs/>
                <w:sz w:val="40"/>
              </w:rPr>
              <w:t>Astik Dyestuff Pvt. Ltd.</w:t>
            </w:r>
          </w:p>
        </w:tc>
      </w:tr>
      <w:tr w:rsidR="00C65960" w14:paraId="096F71FF" w14:textId="77777777" w:rsidTr="00D82A87">
        <w:tblPrEx>
          <w:tblBorders>
            <w:insideH w:val="single" w:sz="8" w:space="0" w:color="auto"/>
            <w:insideV w:val="single" w:sz="8" w:space="0" w:color="auto"/>
          </w:tblBorders>
          <w:tblCellMar>
            <w:left w:w="108" w:type="dxa"/>
            <w:right w:w="108" w:type="dxa"/>
          </w:tblCellMar>
        </w:tblPrEx>
        <w:trPr>
          <w:trHeight w:val="534"/>
        </w:trPr>
        <w:tc>
          <w:tcPr>
            <w:tcW w:w="10440" w:type="dxa"/>
            <w:gridSpan w:val="3"/>
            <w:vAlign w:val="center"/>
          </w:tcPr>
          <w:p w14:paraId="091F1B85" w14:textId="77777777" w:rsidR="00C65960" w:rsidRDefault="00E2055B" w:rsidP="00780C28">
            <w:pPr>
              <w:pStyle w:val="BodyTextIndent3"/>
              <w:tabs>
                <w:tab w:val="clear" w:pos="936"/>
              </w:tabs>
              <w:spacing w:before="60" w:after="60"/>
              <w:ind w:left="0" w:firstLine="0"/>
              <w:rPr>
                <w:rFonts w:ascii="Arial" w:hAnsi="Arial"/>
                <w:i w:val="0"/>
                <w:sz w:val="44"/>
                <w:u w:val="single"/>
              </w:rPr>
            </w:pPr>
            <w:r>
              <w:rPr>
                <w:rFonts w:ascii="Arial" w:hAnsi="Arial"/>
                <w:i w:val="0"/>
                <w:sz w:val="44"/>
              </w:rPr>
              <w:t>Green House Gases</w:t>
            </w:r>
            <w:r w:rsidR="00C65960">
              <w:rPr>
                <w:rFonts w:ascii="Arial" w:hAnsi="Arial"/>
                <w:i w:val="0"/>
                <w:sz w:val="44"/>
              </w:rPr>
              <w:t xml:space="preserve"> Policy</w:t>
            </w:r>
          </w:p>
        </w:tc>
      </w:tr>
      <w:tr w:rsidR="00C65960" w:rsidRPr="00FD7797" w14:paraId="6DA2D735" w14:textId="77777777" w:rsidTr="00D82A87">
        <w:tblPrEx>
          <w:tblBorders>
            <w:insideH w:val="single" w:sz="8" w:space="0" w:color="auto"/>
            <w:insideV w:val="single" w:sz="8" w:space="0" w:color="auto"/>
          </w:tblBorders>
          <w:tblCellMar>
            <w:left w:w="108" w:type="dxa"/>
            <w:right w:w="108" w:type="dxa"/>
          </w:tblCellMar>
        </w:tblPrEx>
        <w:trPr>
          <w:trHeight w:val="3580"/>
        </w:trPr>
        <w:tc>
          <w:tcPr>
            <w:tcW w:w="10440" w:type="dxa"/>
            <w:gridSpan w:val="3"/>
            <w:vAlign w:val="center"/>
          </w:tcPr>
          <w:p w14:paraId="1374EB5A" w14:textId="77777777" w:rsidR="000B4E0A" w:rsidRPr="000B4E0A" w:rsidRDefault="00D82A87" w:rsidP="00E2055B">
            <w:pPr>
              <w:pStyle w:val="BlockText"/>
              <w:tabs>
                <w:tab w:val="clear" w:pos="900"/>
                <w:tab w:val="left" w:pos="0"/>
                <w:tab w:val="left" w:pos="9612"/>
              </w:tabs>
              <w:spacing w:before="60"/>
              <w:ind w:left="0" w:right="158" w:firstLine="0"/>
              <w:jc w:val="left"/>
              <w:rPr>
                <w:sz w:val="22"/>
                <w:szCs w:val="22"/>
              </w:rPr>
            </w:pPr>
            <w:r>
              <w:rPr>
                <w:sz w:val="22"/>
                <w:szCs w:val="22"/>
              </w:rPr>
              <w:t>Astik Dyestuff Pvt. Ltd.</w:t>
            </w:r>
            <w:r w:rsidR="00C26950">
              <w:rPr>
                <w:sz w:val="22"/>
                <w:szCs w:val="22"/>
              </w:rPr>
              <w:t xml:space="preserve"> is in </w:t>
            </w:r>
            <w:r>
              <w:rPr>
                <w:sz w:val="22"/>
                <w:szCs w:val="22"/>
              </w:rPr>
              <w:t>Dyes</w:t>
            </w:r>
            <w:r w:rsidR="00C26950">
              <w:rPr>
                <w:sz w:val="22"/>
                <w:szCs w:val="22"/>
              </w:rPr>
              <w:t xml:space="preserve"> industries which use the electricity, boiler,</w:t>
            </w:r>
            <w:r w:rsidR="00F25345">
              <w:rPr>
                <w:sz w:val="22"/>
                <w:szCs w:val="22"/>
              </w:rPr>
              <w:t xml:space="preserve"> Air conditioner, refrigerator</w:t>
            </w:r>
            <w:r w:rsidR="00C26950">
              <w:rPr>
                <w:sz w:val="22"/>
                <w:szCs w:val="22"/>
              </w:rPr>
              <w:t xml:space="preserve"> CNG gas and </w:t>
            </w:r>
            <w:r w:rsidR="000B4E0A" w:rsidRPr="000B4E0A">
              <w:rPr>
                <w:sz w:val="22"/>
                <w:szCs w:val="22"/>
              </w:rPr>
              <w:t>produce the CO</w:t>
            </w:r>
            <w:r w:rsidR="000B4E0A" w:rsidRPr="00F721F7">
              <w:rPr>
                <w:sz w:val="22"/>
                <w:szCs w:val="22"/>
                <w:vertAlign w:val="subscript"/>
              </w:rPr>
              <w:t>2</w:t>
            </w:r>
            <w:r w:rsidR="000B4E0A" w:rsidRPr="000B4E0A">
              <w:rPr>
                <w:sz w:val="22"/>
                <w:szCs w:val="22"/>
              </w:rPr>
              <w:t xml:space="preserve"> and other emission which affect the GHG.</w:t>
            </w:r>
          </w:p>
          <w:p w14:paraId="07759984" w14:textId="77777777" w:rsidR="00E2055B" w:rsidRPr="000B4E0A" w:rsidRDefault="00E2055B" w:rsidP="00E2055B">
            <w:pPr>
              <w:pStyle w:val="BlockText"/>
              <w:tabs>
                <w:tab w:val="clear" w:pos="900"/>
                <w:tab w:val="left" w:pos="0"/>
                <w:tab w:val="left" w:pos="9612"/>
              </w:tabs>
              <w:spacing w:before="60"/>
              <w:ind w:left="0" w:right="158" w:firstLine="0"/>
              <w:jc w:val="left"/>
              <w:rPr>
                <w:sz w:val="22"/>
                <w:szCs w:val="22"/>
              </w:rPr>
            </w:pPr>
            <w:r w:rsidRPr="000B4E0A">
              <w:rPr>
                <w:sz w:val="22"/>
                <w:szCs w:val="22"/>
              </w:rPr>
              <w:t xml:space="preserve">The roadmap for the India chemical industry shows that it is technologically feasible for chemical production in India to become extensively greenhouse gas neutral by 2040. New methods of </w:t>
            </w:r>
            <w:r w:rsidR="00F25345" w:rsidRPr="00F25345">
              <w:rPr>
                <w:sz w:val="22"/>
                <w:szCs w:val="22"/>
              </w:rPr>
              <w:t>Recycling water</w:t>
            </w:r>
            <w:r w:rsidR="00F25345">
              <w:rPr>
                <w:sz w:val="22"/>
                <w:szCs w:val="22"/>
              </w:rPr>
              <w:t xml:space="preserve">, </w:t>
            </w:r>
            <w:r w:rsidR="00F25345" w:rsidRPr="00F25345">
              <w:rPr>
                <w:sz w:val="22"/>
                <w:szCs w:val="22"/>
              </w:rPr>
              <w:t xml:space="preserve">Try to increase scope for recycling </w:t>
            </w:r>
            <w:r w:rsidR="00F25345">
              <w:rPr>
                <w:sz w:val="22"/>
                <w:szCs w:val="22"/>
              </w:rPr>
              <w:t>of waste water, monitoring of emission generating stack</w:t>
            </w:r>
            <w:r w:rsidR="00F25345" w:rsidRPr="00F25345">
              <w:rPr>
                <w:sz w:val="22"/>
                <w:szCs w:val="22"/>
              </w:rPr>
              <w:t xml:space="preserve"> </w:t>
            </w:r>
            <w:r w:rsidRPr="000B4E0A">
              <w:rPr>
                <w:sz w:val="22"/>
                <w:szCs w:val="22"/>
              </w:rPr>
              <w:t>make this possible. The extent to which the chemical industry can actually tap this technical potential depends on multiple factors.</w:t>
            </w:r>
          </w:p>
          <w:p w14:paraId="458F0ACF" w14:textId="77777777" w:rsidR="00E2055B" w:rsidRPr="000B4E0A" w:rsidRDefault="00E2055B" w:rsidP="00E2055B">
            <w:pPr>
              <w:pStyle w:val="BlockText"/>
              <w:tabs>
                <w:tab w:val="clear" w:pos="900"/>
                <w:tab w:val="left" w:pos="0"/>
                <w:tab w:val="left" w:pos="9612"/>
              </w:tabs>
              <w:spacing w:before="60"/>
              <w:ind w:left="0" w:right="158" w:firstLine="0"/>
              <w:jc w:val="left"/>
              <w:rPr>
                <w:sz w:val="22"/>
                <w:szCs w:val="22"/>
              </w:rPr>
            </w:pPr>
            <w:r w:rsidRPr="000B4E0A">
              <w:rPr>
                <w:sz w:val="22"/>
                <w:szCs w:val="22"/>
              </w:rPr>
              <w:t xml:space="preserve">Companies can thus only pursue a transition to zero emissions if they can remain competitive during each phase and have an optimum framework. But even then, the chemical industry faces considerable obstacles in its pursuit of greenhouse gas neutrality: a key prerequisite for almost all new technologies is the availability of renewable electricity in enormous </w:t>
            </w:r>
            <w:r w:rsidR="007665ED">
              <w:rPr>
                <w:sz w:val="22"/>
                <w:szCs w:val="22"/>
              </w:rPr>
              <w:t>volumes from today’s viewpoint.</w:t>
            </w:r>
          </w:p>
          <w:p w14:paraId="1B9E8756" w14:textId="77777777" w:rsidR="00E2055B" w:rsidRPr="000B4E0A" w:rsidRDefault="00E2055B" w:rsidP="00E2055B">
            <w:pPr>
              <w:pStyle w:val="BlockText"/>
              <w:tabs>
                <w:tab w:val="clear" w:pos="900"/>
                <w:tab w:val="left" w:pos="0"/>
                <w:tab w:val="left" w:pos="9612"/>
              </w:tabs>
              <w:spacing w:before="60"/>
              <w:ind w:left="0" w:right="158" w:firstLine="0"/>
              <w:jc w:val="left"/>
              <w:rPr>
                <w:b/>
                <w:sz w:val="22"/>
                <w:szCs w:val="22"/>
              </w:rPr>
            </w:pPr>
          </w:p>
          <w:p w14:paraId="2BBAA371" w14:textId="77777777" w:rsidR="00E2055B" w:rsidRPr="000B4E0A" w:rsidRDefault="00E2055B" w:rsidP="00E2055B">
            <w:pPr>
              <w:pStyle w:val="BlockText"/>
              <w:tabs>
                <w:tab w:val="clear" w:pos="900"/>
                <w:tab w:val="left" w:pos="0"/>
                <w:tab w:val="left" w:pos="9612"/>
              </w:tabs>
              <w:spacing w:before="60"/>
              <w:ind w:left="0" w:right="158" w:firstLine="0"/>
              <w:jc w:val="left"/>
              <w:rPr>
                <w:b/>
                <w:sz w:val="22"/>
                <w:szCs w:val="22"/>
              </w:rPr>
            </w:pPr>
            <w:r w:rsidRPr="000B4E0A">
              <w:rPr>
                <w:b/>
                <w:sz w:val="22"/>
                <w:szCs w:val="22"/>
              </w:rPr>
              <w:t>Action Plan to speed up the availability of new processes;</w:t>
            </w:r>
          </w:p>
          <w:p w14:paraId="321CFE8B" w14:textId="77777777" w:rsidR="00E2055B" w:rsidRPr="000B4E0A" w:rsidRDefault="00E2055B" w:rsidP="00E2055B">
            <w:pPr>
              <w:pStyle w:val="BlockText"/>
              <w:tabs>
                <w:tab w:val="clear" w:pos="900"/>
                <w:tab w:val="left" w:pos="0"/>
                <w:tab w:val="left" w:pos="9612"/>
              </w:tabs>
              <w:spacing w:before="60"/>
              <w:ind w:left="0" w:right="158" w:firstLine="0"/>
              <w:jc w:val="left"/>
              <w:rPr>
                <w:sz w:val="22"/>
                <w:szCs w:val="22"/>
              </w:rPr>
            </w:pPr>
            <w:r w:rsidRPr="000B4E0A">
              <w:rPr>
                <w:sz w:val="22"/>
                <w:szCs w:val="22"/>
              </w:rPr>
              <w:t>Availability of affordable renewable electricity</w:t>
            </w:r>
          </w:p>
          <w:p w14:paraId="1D5DE1D5" w14:textId="77777777" w:rsidR="00E2055B" w:rsidRDefault="00E2055B" w:rsidP="00E2055B">
            <w:pPr>
              <w:pStyle w:val="BlockText"/>
              <w:numPr>
                <w:ilvl w:val="0"/>
                <w:numId w:val="2"/>
              </w:numPr>
              <w:tabs>
                <w:tab w:val="clear" w:pos="900"/>
                <w:tab w:val="left" w:pos="0"/>
                <w:tab w:val="left" w:pos="9612"/>
              </w:tabs>
              <w:spacing w:before="60"/>
              <w:ind w:right="158"/>
              <w:jc w:val="left"/>
              <w:rPr>
                <w:sz w:val="22"/>
                <w:szCs w:val="22"/>
              </w:rPr>
            </w:pPr>
            <w:r w:rsidRPr="000B4E0A">
              <w:rPr>
                <w:sz w:val="22"/>
                <w:szCs w:val="22"/>
              </w:rPr>
              <w:t>New, low-emission processes in the basic chemicals segment are only possible if the necessary electricity is available. To achieve greenhouse gas neutrality, the annual electricity requirements of the chemical industry would increase to more than eleven ti</w:t>
            </w:r>
            <w:r w:rsidR="00D82A87">
              <w:rPr>
                <w:sz w:val="22"/>
                <w:szCs w:val="22"/>
              </w:rPr>
              <w:t>mes the current amount</w:t>
            </w:r>
            <w:r w:rsidRPr="000B4E0A">
              <w:rPr>
                <w:sz w:val="22"/>
                <w:szCs w:val="22"/>
              </w:rPr>
              <w:t>. Electricity costs must remain permanently low.</w:t>
            </w:r>
          </w:p>
          <w:p w14:paraId="35AD58DC" w14:textId="77777777" w:rsidR="009A4621" w:rsidRPr="00F25345" w:rsidRDefault="00F721F7" w:rsidP="00F25345">
            <w:pPr>
              <w:pStyle w:val="BlockText"/>
              <w:numPr>
                <w:ilvl w:val="0"/>
                <w:numId w:val="2"/>
              </w:numPr>
              <w:tabs>
                <w:tab w:val="left" w:pos="0"/>
                <w:tab w:val="left" w:pos="9612"/>
              </w:tabs>
              <w:spacing w:before="60"/>
              <w:ind w:right="158"/>
              <w:rPr>
                <w:sz w:val="22"/>
                <w:szCs w:val="22"/>
                <w:lang w:val="en-IN"/>
              </w:rPr>
            </w:pPr>
            <w:r w:rsidRPr="00F25345">
              <w:rPr>
                <w:sz w:val="22"/>
                <w:szCs w:val="22"/>
                <w:lang w:val="en-US"/>
              </w:rPr>
              <w:t>Increasing so</w:t>
            </w:r>
            <w:r w:rsidRPr="00F25345">
              <w:rPr>
                <w:sz w:val="22"/>
                <w:szCs w:val="22"/>
                <w:lang w:val="en-US"/>
              </w:rPr>
              <w:t>lid content in process, to reduce drying costs</w:t>
            </w:r>
          </w:p>
          <w:p w14:paraId="5636B767" w14:textId="77777777" w:rsidR="009A4621" w:rsidRPr="00F25345" w:rsidRDefault="00F721F7" w:rsidP="00F25345">
            <w:pPr>
              <w:pStyle w:val="BlockText"/>
              <w:numPr>
                <w:ilvl w:val="0"/>
                <w:numId w:val="2"/>
              </w:numPr>
              <w:tabs>
                <w:tab w:val="left" w:pos="0"/>
                <w:tab w:val="left" w:pos="9612"/>
              </w:tabs>
              <w:spacing w:before="60"/>
              <w:ind w:right="158"/>
              <w:rPr>
                <w:sz w:val="22"/>
                <w:szCs w:val="22"/>
                <w:lang w:val="en-IN"/>
              </w:rPr>
            </w:pPr>
            <w:r w:rsidRPr="00F25345">
              <w:rPr>
                <w:sz w:val="22"/>
                <w:szCs w:val="22"/>
              </w:rPr>
              <w:t>Considering use of solar lamps</w:t>
            </w:r>
          </w:p>
          <w:p w14:paraId="0C26CF33" w14:textId="77777777" w:rsidR="00F25345" w:rsidRPr="00F25345" w:rsidRDefault="00F721F7" w:rsidP="00F25345">
            <w:pPr>
              <w:pStyle w:val="BlockText"/>
              <w:numPr>
                <w:ilvl w:val="0"/>
                <w:numId w:val="2"/>
              </w:numPr>
              <w:tabs>
                <w:tab w:val="left" w:pos="0"/>
                <w:tab w:val="left" w:pos="9612"/>
              </w:tabs>
              <w:spacing w:before="60"/>
              <w:ind w:right="158"/>
              <w:rPr>
                <w:sz w:val="22"/>
                <w:szCs w:val="22"/>
                <w:lang w:val="en-IN"/>
              </w:rPr>
            </w:pPr>
            <w:r w:rsidRPr="00F25345">
              <w:rPr>
                <w:sz w:val="22"/>
                <w:szCs w:val="22"/>
                <w:lang w:val="en-US"/>
              </w:rPr>
              <w:t>Shortening process cycle times</w:t>
            </w:r>
          </w:p>
          <w:p w14:paraId="47E796C4" w14:textId="77777777" w:rsidR="000B4E0A" w:rsidRPr="000B4E0A" w:rsidRDefault="000B4E0A" w:rsidP="000B4E0A">
            <w:pPr>
              <w:pStyle w:val="BlockText"/>
              <w:numPr>
                <w:ilvl w:val="0"/>
                <w:numId w:val="2"/>
              </w:numPr>
              <w:tabs>
                <w:tab w:val="clear" w:pos="900"/>
                <w:tab w:val="left" w:pos="0"/>
                <w:tab w:val="left" w:pos="9612"/>
              </w:tabs>
              <w:spacing w:before="60"/>
              <w:ind w:right="158"/>
              <w:jc w:val="left"/>
              <w:rPr>
                <w:sz w:val="22"/>
                <w:szCs w:val="22"/>
              </w:rPr>
            </w:pPr>
            <w:r w:rsidRPr="000B4E0A">
              <w:rPr>
                <w:sz w:val="22"/>
                <w:szCs w:val="22"/>
              </w:rPr>
              <w:t>Reduce the use of air conditioner and shut down when not in use.</w:t>
            </w:r>
          </w:p>
          <w:p w14:paraId="1A8FC2BC" w14:textId="77777777" w:rsidR="000B4E0A" w:rsidRPr="00F25345" w:rsidRDefault="00F721F7" w:rsidP="00F25345">
            <w:pPr>
              <w:pStyle w:val="BlockText"/>
              <w:numPr>
                <w:ilvl w:val="0"/>
                <w:numId w:val="2"/>
              </w:numPr>
              <w:tabs>
                <w:tab w:val="left" w:pos="0"/>
                <w:tab w:val="left" w:pos="9612"/>
              </w:tabs>
              <w:spacing w:before="60"/>
              <w:ind w:right="158"/>
              <w:rPr>
                <w:sz w:val="22"/>
                <w:szCs w:val="22"/>
                <w:lang w:val="en-IN"/>
              </w:rPr>
            </w:pPr>
            <w:r w:rsidRPr="00F25345">
              <w:rPr>
                <w:sz w:val="22"/>
                <w:szCs w:val="22"/>
                <w:lang w:val="en-US"/>
              </w:rPr>
              <w:t xml:space="preserve">Try </w:t>
            </w:r>
            <w:r w:rsidR="00F25345">
              <w:rPr>
                <w:sz w:val="22"/>
                <w:szCs w:val="22"/>
                <w:lang w:val="en-US"/>
              </w:rPr>
              <w:t>to increase scope for recycling</w:t>
            </w:r>
            <w:r w:rsidR="000B4E0A" w:rsidRPr="00F25345">
              <w:rPr>
                <w:sz w:val="22"/>
                <w:szCs w:val="22"/>
              </w:rPr>
              <w:t>.</w:t>
            </w:r>
          </w:p>
          <w:p w14:paraId="182E5E7F" w14:textId="77777777" w:rsidR="009A4621" w:rsidRPr="00F25345" w:rsidRDefault="00F721F7" w:rsidP="00F25345">
            <w:pPr>
              <w:pStyle w:val="BlockText"/>
              <w:numPr>
                <w:ilvl w:val="0"/>
                <w:numId w:val="2"/>
              </w:numPr>
              <w:tabs>
                <w:tab w:val="left" w:pos="0"/>
                <w:tab w:val="left" w:pos="9612"/>
              </w:tabs>
              <w:spacing w:before="60"/>
              <w:ind w:right="158"/>
              <w:rPr>
                <w:sz w:val="22"/>
                <w:szCs w:val="22"/>
                <w:lang w:val="en-IN"/>
              </w:rPr>
            </w:pPr>
            <w:r w:rsidRPr="00F25345">
              <w:rPr>
                <w:sz w:val="22"/>
                <w:szCs w:val="22"/>
                <w:lang w:val="en-US"/>
              </w:rPr>
              <w:t>Reducing water consumption in washings by ins</w:t>
            </w:r>
            <w:r w:rsidRPr="00F25345">
              <w:rPr>
                <w:sz w:val="22"/>
                <w:szCs w:val="22"/>
                <w:lang w:val="en-US"/>
              </w:rPr>
              <w:t>talling bigger vessels and increasing batch sizes</w:t>
            </w:r>
          </w:p>
          <w:p w14:paraId="45EBEA74" w14:textId="77777777" w:rsidR="00F25345" w:rsidRPr="00F25345" w:rsidRDefault="00F25345" w:rsidP="00F25345">
            <w:pPr>
              <w:pStyle w:val="BlockText"/>
              <w:numPr>
                <w:ilvl w:val="0"/>
                <w:numId w:val="2"/>
              </w:numPr>
              <w:tabs>
                <w:tab w:val="left" w:pos="0"/>
                <w:tab w:val="left" w:pos="9612"/>
              </w:tabs>
              <w:spacing w:before="60"/>
              <w:ind w:right="158"/>
              <w:rPr>
                <w:sz w:val="22"/>
                <w:szCs w:val="22"/>
                <w:lang w:val="en-IN"/>
              </w:rPr>
            </w:pPr>
            <w:r>
              <w:rPr>
                <w:sz w:val="22"/>
                <w:szCs w:val="22"/>
                <w:lang w:val="en-IN"/>
              </w:rPr>
              <w:t>Recycling water</w:t>
            </w:r>
          </w:p>
          <w:p w14:paraId="068E4673" w14:textId="77777777" w:rsidR="000B4E0A" w:rsidRPr="00F25345" w:rsidRDefault="000B4E0A" w:rsidP="000B4E0A">
            <w:pPr>
              <w:pStyle w:val="BlockText"/>
              <w:tabs>
                <w:tab w:val="clear" w:pos="900"/>
                <w:tab w:val="left" w:pos="0"/>
                <w:tab w:val="left" w:pos="9612"/>
              </w:tabs>
              <w:spacing w:before="60"/>
              <w:ind w:left="720" w:right="158" w:firstLine="0"/>
              <w:jc w:val="left"/>
              <w:rPr>
                <w:rFonts w:asciiTheme="minorHAnsi" w:hAnsiTheme="minorHAnsi" w:cstheme="minorHAnsi"/>
                <w:b/>
                <w:sz w:val="22"/>
                <w:szCs w:val="22"/>
              </w:rPr>
            </w:pPr>
            <w:r w:rsidRPr="00F25345">
              <w:rPr>
                <w:b/>
                <w:sz w:val="22"/>
                <w:szCs w:val="22"/>
              </w:rPr>
              <w:t>Policy framework</w:t>
            </w:r>
          </w:p>
          <w:p w14:paraId="1B31693F" w14:textId="77777777" w:rsidR="000B4E0A" w:rsidRPr="000B4E0A" w:rsidRDefault="000B4E0A" w:rsidP="000B4E0A">
            <w:pPr>
              <w:pStyle w:val="BlockText"/>
              <w:numPr>
                <w:ilvl w:val="0"/>
                <w:numId w:val="2"/>
              </w:numPr>
              <w:tabs>
                <w:tab w:val="clear" w:pos="900"/>
                <w:tab w:val="left" w:pos="0"/>
                <w:tab w:val="left" w:pos="9612"/>
              </w:tabs>
              <w:spacing w:before="60"/>
              <w:ind w:right="158"/>
              <w:jc w:val="left"/>
              <w:rPr>
                <w:rFonts w:asciiTheme="minorHAnsi" w:hAnsiTheme="minorHAnsi" w:cstheme="minorHAnsi"/>
                <w:b/>
                <w:sz w:val="22"/>
                <w:szCs w:val="22"/>
              </w:rPr>
            </w:pPr>
            <w:r w:rsidRPr="000B4E0A">
              <w:rPr>
                <w:sz w:val="22"/>
                <w:szCs w:val="22"/>
              </w:rPr>
              <w:t>Cheap raw material costs have a positive impact on the economic viability of new processes. Policies can create competitive prices for the provision of low-emission hydrogen.</w:t>
            </w:r>
          </w:p>
          <w:p w14:paraId="519F4398" w14:textId="77777777" w:rsidR="000B4E0A" w:rsidRPr="000B4E0A" w:rsidRDefault="000B4E0A" w:rsidP="000B4E0A">
            <w:pPr>
              <w:pStyle w:val="BlockText"/>
              <w:numPr>
                <w:ilvl w:val="0"/>
                <w:numId w:val="2"/>
              </w:numPr>
              <w:tabs>
                <w:tab w:val="clear" w:pos="900"/>
                <w:tab w:val="left" w:pos="0"/>
                <w:tab w:val="left" w:pos="9612"/>
              </w:tabs>
              <w:spacing w:before="60"/>
              <w:ind w:right="158"/>
              <w:jc w:val="left"/>
              <w:rPr>
                <w:rFonts w:asciiTheme="minorHAnsi" w:hAnsiTheme="minorHAnsi" w:cstheme="minorHAnsi"/>
                <w:b/>
                <w:sz w:val="22"/>
                <w:szCs w:val="22"/>
              </w:rPr>
            </w:pPr>
            <w:r w:rsidRPr="000B4E0A">
              <w:rPr>
                <w:sz w:val="22"/>
                <w:szCs w:val="22"/>
              </w:rPr>
              <w:t>The sooner CO2 emissions from India electricity production are cut, the faster new processes can lead to a reduction of CO2, including in the chemical industry.</w:t>
            </w:r>
          </w:p>
          <w:p w14:paraId="65F0F06A" w14:textId="77777777" w:rsidR="000B4E0A" w:rsidRPr="00F25345" w:rsidRDefault="000B4E0A" w:rsidP="000B4E0A">
            <w:pPr>
              <w:pStyle w:val="BlockText"/>
              <w:tabs>
                <w:tab w:val="clear" w:pos="900"/>
                <w:tab w:val="left" w:pos="0"/>
                <w:tab w:val="left" w:pos="9612"/>
              </w:tabs>
              <w:spacing w:before="60"/>
              <w:ind w:left="720" w:right="158" w:firstLine="0"/>
              <w:jc w:val="left"/>
              <w:rPr>
                <w:b/>
                <w:sz w:val="22"/>
                <w:szCs w:val="22"/>
              </w:rPr>
            </w:pPr>
            <w:r w:rsidRPr="00F25345">
              <w:rPr>
                <w:b/>
                <w:sz w:val="22"/>
                <w:szCs w:val="22"/>
              </w:rPr>
              <w:t>Support for new technologies</w:t>
            </w:r>
          </w:p>
          <w:p w14:paraId="6743F64F" w14:textId="77777777" w:rsidR="00E2055B" w:rsidRPr="000B4E0A" w:rsidRDefault="00E2055B" w:rsidP="00E2055B">
            <w:pPr>
              <w:pStyle w:val="BlockText"/>
              <w:numPr>
                <w:ilvl w:val="0"/>
                <w:numId w:val="2"/>
              </w:numPr>
              <w:tabs>
                <w:tab w:val="clear" w:pos="900"/>
                <w:tab w:val="left" w:pos="0"/>
                <w:tab w:val="left" w:pos="9612"/>
              </w:tabs>
              <w:spacing w:before="60"/>
              <w:ind w:right="158"/>
              <w:jc w:val="left"/>
              <w:rPr>
                <w:sz w:val="22"/>
                <w:szCs w:val="22"/>
              </w:rPr>
            </w:pPr>
            <w:r w:rsidRPr="000B4E0A">
              <w:rPr>
                <w:sz w:val="22"/>
                <w:szCs w:val="22"/>
              </w:rPr>
              <w:t>The roadmap assumes an electricity price per kWh for industry – a very low price from today’s viewpoint. If the price of electricity is increase, the chemical industry cannot become greenhouse gas neutral by 2040 because the relevant plants would not be economically viable.</w:t>
            </w:r>
          </w:p>
          <w:p w14:paraId="354D32CE" w14:textId="77777777" w:rsidR="00E2055B" w:rsidRPr="000B4E0A" w:rsidRDefault="00E2055B" w:rsidP="00E2055B">
            <w:pPr>
              <w:pStyle w:val="BlockText"/>
              <w:numPr>
                <w:ilvl w:val="0"/>
                <w:numId w:val="2"/>
              </w:numPr>
              <w:tabs>
                <w:tab w:val="clear" w:pos="900"/>
                <w:tab w:val="left" w:pos="0"/>
                <w:tab w:val="left" w:pos="9612"/>
              </w:tabs>
              <w:spacing w:before="60"/>
              <w:ind w:right="158"/>
              <w:jc w:val="left"/>
              <w:rPr>
                <w:rFonts w:asciiTheme="minorHAnsi" w:hAnsiTheme="minorHAnsi" w:cstheme="minorHAnsi"/>
                <w:b/>
                <w:sz w:val="22"/>
                <w:szCs w:val="22"/>
              </w:rPr>
            </w:pPr>
            <w:r w:rsidRPr="000B4E0A">
              <w:rPr>
                <w:sz w:val="22"/>
                <w:szCs w:val="22"/>
              </w:rPr>
              <w:t>New technologies must be recognized as progress in regulations and must not be hampered by additional obstacles.</w:t>
            </w:r>
          </w:p>
        </w:tc>
      </w:tr>
      <w:tr w:rsidR="00C65960" w14:paraId="07C8AB60" w14:textId="77777777" w:rsidTr="00D82A87">
        <w:tblPrEx>
          <w:tblBorders>
            <w:insideH w:val="single" w:sz="8" w:space="0" w:color="auto"/>
            <w:insideV w:val="single" w:sz="8" w:space="0" w:color="auto"/>
          </w:tblBorders>
          <w:tblCellMar>
            <w:left w:w="108" w:type="dxa"/>
            <w:right w:w="108" w:type="dxa"/>
          </w:tblCellMar>
        </w:tblPrEx>
        <w:trPr>
          <w:cantSplit/>
          <w:trHeight w:val="426"/>
        </w:trPr>
        <w:tc>
          <w:tcPr>
            <w:tcW w:w="7830" w:type="dxa"/>
            <w:gridSpan w:val="2"/>
            <w:vAlign w:val="bottom"/>
          </w:tcPr>
          <w:p w14:paraId="1B270C4F" w14:textId="77777777" w:rsidR="00C65960" w:rsidRDefault="00C65960" w:rsidP="00780C28">
            <w:pPr>
              <w:pStyle w:val="BodyTextIndent3"/>
              <w:tabs>
                <w:tab w:val="clear" w:pos="936"/>
                <w:tab w:val="left" w:pos="1080"/>
              </w:tabs>
              <w:spacing w:before="120" w:after="120"/>
              <w:ind w:left="0" w:firstLine="0"/>
              <w:rPr>
                <w:rFonts w:ascii="Arial" w:hAnsi="Arial"/>
                <w:i w:val="0"/>
                <w:iCs/>
                <w:sz w:val="2"/>
              </w:rPr>
            </w:pPr>
            <w:r>
              <w:rPr>
                <w:rFonts w:ascii="Arial" w:hAnsi="Arial"/>
                <w:i w:val="0"/>
                <w:iCs/>
                <w:sz w:val="2"/>
              </w:rPr>
              <w:t>&lt;</w:t>
            </w:r>
          </w:p>
          <w:p w14:paraId="440FF682" w14:textId="77777777" w:rsidR="00C65960" w:rsidRDefault="00C65960" w:rsidP="00780C28">
            <w:pPr>
              <w:pStyle w:val="BodyTextIndent3"/>
              <w:tabs>
                <w:tab w:val="clear" w:pos="936"/>
                <w:tab w:val="left" w:pos="1080"/>
              </w:tabs>
              <w:spacing w:before="120" w:after="120"/>
              <w:ind w:left="0" w:firstLine="0"/>
              <w:rPr>
                <w:rFonts w:ascii="Arial" w:hAnsi="Arial"/>
                <w:i w:val="0"/>
                <w:iCs/>
                <w:sz w:val="24"/>
              </w:rPr>
            </w:pPr>
          </w:p>
        </w:tc>
        <w:tc>
          <w:tcPr>
            <w:tcW w:w="2610" w:type="dxa"/>
            <w:vMerge w:val="restart"/>
            <w:vAlign w:val="center"/>
          </w:tcPr>
          <w:p w14:paraId="3370C1D4" w14:textId="77777777" w:rsidR="00C65960" w:rsidRPr="00285633" w:rsidRDefault="00C65960" w:rsidP="00D82A87">
            <w:pPr>
              <w:pStyle w:val="BodyTextIndent3"/>
              <w:tabs>
                <w:tab w:val="clear" w:pos="936"/>
                <w:tab w:val="left" w:pos="1080"/>
              </w:tabs>
              <w:spacing w:before="120" w:after="120"/>
              <w:ind w:left="0" w:firstLine="0"/>
              <w:rPr>
                <w:rFonts w:ascii="Arial" w:hAnsi="Arial"/>
                <w:i w:val="0"/>
                <w:szCs w:val="28"/>
              </w:rPr>
            </w:pPr>
            <w:r>
              <w:rPr>
                <w:rFonts w:ascii="Arial" w:hAnsi="Arial"/>
                <w:i w:val="0"/>
                <w:szCs w:val="28"/>
              </w:rPr>
              <w:t>1</w:t>
            </w:r>
            <w:r w:rsidRPr="00B22DD8">
              <w:rPr>
                <w:rFonts w:ascii="Arial" w:hAnsi="Arial"/>
                <w:i w:val="0"/>
                <w:szCs w:val="28"/>
                <w:vertAlign w:val="superscript"/>
              </w:rPr>
              <w:t>st</w:t>
            </w:r>
            <w:r w:rsidR="00D82A87">
              <w:rPr>
                <w:rFonts w:ascii="Arial" w:hAnsi="Arial"/>
                <w:i w:val="0"/>
                <w:szCs w:val="28"/>
              </w:rPr>
              <w:t>October</w:t>
            </w:r>
            <w:r>
              <w:rPr>
                <w:rFonts w:ascii="Arial" w:hAnsi="Arial"/>
                <w:i w:val="0"/>
                <w:szCs w:val="28"/>
              </w:rPr>
              <w:t xml:space="preserve"> 2021</w:t>
            </w:r>
          </w:p>
        </w:tc>
      </w:tr>
      <w:tr w:rsidR="00C65960" w14:paraId="13C81246" w14:textId="77777777" w:rsidTr="00D82A87">
        <w:tblPrEx>
          <w:tblBorders>
            <w:insideH w:val="single" w:sz="8" w:space="0" w:color="auto"/>
            <w:insideV w:val="single" w:sz="8" w:space="0" w:color="auto"/>
          </w:tblBorders>
          <w:tblCellMar>
            <w:left w:w="108" w:type="dxa"/>
            <w:right w:w="108" w:type="dxa"/>
          </w:tblCellMar>
        </w:tblPrEx>
        <w:trPr>
          <w:cantSplit/>
          <w:trHeight w:val="426"/>
        </w:trPr>
        <w:tc>
          <w:tcPr>
            <w:tcW w:w="7830" w:type="dxa"/>
            <w:gridSpan w:val="2"/>
            <w:vAlign w:val="center"/>
          </w:tcPr>
          <w:p w14:paraId="38632EAF" w14:textId="77777777" w:rsidR="00C65960" w:rsidRPr="00285633" w:rsidRDefault="00D82A87" w:rsidP="00780C28">
            <w:pPr>
              <w:pStyle w:val="BodyTextIndent3"/>
              <w:tabs>
                <w:tab w:val="clear" w:pos="936"/>
                <w:tab w:val="left" w:pos="1080"/>
              </w:tabs>
              <w:spacing w:before="120" w:after="120"/>
              <w:ind w:left="0" w:firstLine="0"/>
              <w:rPr>
                <w:rFonts w:ascii="Arial" w:hAnsi="Arial"/>
                <w:i w:val="0"/>
                <w:szCs w:val="28"/>
              </w:rPr>
            </w:pPr>
            <w:r>
              <w:rPr>
                <w:rFonts w:ascii="Arial" w:hAnsi="Arial"/>
                <w:i w:val="0"/>
                <w:szCs w:val="28"/>
              </w:rPr>
              <w:t>Director</w:t>
            </w:r>
          </w:p>
        </w:tc>
        <w:tc>
          <w:tcPr>
            <w:tcW w:w="2610" w:type="dxa"/>
            <w:vMerge/>
            <w:vAlign w:val="center"/>
          </w:tcPr>
          <w:p w14:paraId="5002BAE0" w14:textId="77777777" w:rsidR="00C65960" w:rsidRPr="00285633" w:rsidRDefault="00C65960" w:rsidP="00780C28">
            <w:pPr>
              <w:pStyle w:val="BodyTextIndent3"/>
              <w:tabs>
                <w:tab w:val="clear" w:pos="936"/>
                <w:tab w:val="left" w:pos="1080"/>
              </w:tabs>
              <w:spacing w:before="120" w:after="120"/>
              <w:ind w:left="0" w:firstLine="0"/>
              <w:rPr>
                <w:rFonts w:ascii="Arial" w:hAnsi="Arial"/>
                <w:i w:val="0"/>
                <w:szCs w:val="28"/>
              </w:rPr>
            </w:pPr>
          </w:p>
        </w:tc>
      </w:tr>
    </w:tbl>
    <w:p w14:paraId="7D71B44F" w14:textId="77777777" w:rsidR="00810E5C" w:rsidRDefault="00F721F7"/>
    <w:sectPr w:rsidR="00810E5C" w:rsidSect="00C65960">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FD1"/>
    <w:multiLevelType w:val="hybridMultilevel"/>
    <w:tmpl w:val="DCD0989E"/>
    <w:lvl w:ilvl="0" w:tplc="6D305CBA">
      <w:start w:val="1"/>
      <w:numFmt w:val="bullet"/>
      <w:lvlText w:val="•"/>
      <w:lvlJc w:val="left"/>
      <w:pPr>
        <w:tabs>
          <w:tab w:val="num" w:pos="720"/>
        </w:tabs>
        <w:ind w:left="720" w:hanging="360"/>
      </w:pPr>
      <w:rPr>
        <w:rFonts w:ascii="Arial" w:hAnsi="Arial" w:hint="default"/>
      </w:rPr>
    </w:lvl>
    <w:lvl w:ilvl="1" w:tplc="D0D634D8">
      <w:start w:val="1"/>
      <w:numFmt w:val="bullet"/>
      <w:lvlText w:val="•"/>
      <w:lvlJc w:val="left"/>
      <w:pPr>
        <w:tabs>
          <w:tab w:val="num" w:pos="1440"/>
        </w:tabs>
        <w:ind w:left="1440" w:hanging="360"/>
      </w:pPr>
      <w:rPr>
        <w:rFonts w:ascii="Arial" w:hAnsi="Arial" w:hint="default"/>
      </w:rPr>
    </w:lvl>
    <w:lvl w:ilvl="2" w:tplc="8C88B026" w:tentative="1">
      <w:start w:val="1"/>
      <w:numFmt w:val="bullet"/>
      <w:lvlText w:val="•"/>
      <w:lvlJc w:val="left"/>
      <w:pPr>
        <w:tabs>
          <w:tab w:val="num" w:pos="2160"/>
        </w:tabs>
        <w:ind w:left="2160" w:hanging="360"/>
      </w:pPr>
      <w:rPr>
        <w:rFonts w:ascii="Arial" w:hAnsi="Arial" w:hint="default"/>
      </w:rPr>
    </w:lvl>
    <w:lvl w:ilvl="3" w:tplc="3DFC5D66" w:tentative="1">
      <w:start w:val="1"/>
      <w:numFmt w:val="bullet"/>
      <w:lvlText w:val="•"/>
      <w:lvlJc w:val="left"/>
      <w:pPr>
        <w:tabs>
          <w:tab w:val="num" w:pos="2880"/>
        </w:tabs>
        <w:ind w:left="2880" w:hanging="360"/>
      </w:pPr>
      <w:rPr>
        <w:rFonts w:ascii="Arial" w:hAnsi="Arial" w:hint="default"/>
      </w:rPr>
    </w:lvl>
    <w:lvl w:ilvl="4" w:tplc="A32A280A" w:tentative="1">
      <w:start w:val="1"/>
      <w:numFmt w:val="bullet"/>
      <w:lvlText w:val="•"/>
      <w:lvlJc w:val="left"/>
      <w:pPr>
        <w:tabs>
          <w:tab w:val="num" w:pos="3600"/>
        </w:tabs>
        <w:ind w:left="3600" w:hanging="360"/>
      </w:pPr>
      <w:rPr>
        <w:rFonts w:ascii="Arial" w:hAnsi="Arial" w:hint="default"/>
      </w:rPr>
    </w:lvl>
    <w:lvl w:ilvl="5" w:tplc="62A4A166" w:tentative="1">
      <w:start w:val="1"/>
      <w:numFmt w:val="bullet"/>
      <w:lvlText w:val="•"/>
      <w:lvlJc w:val="left"/>
      <w:pPr>
        <w:tabs>
          <w:tab w:val="num" w:pos="4320"/>
        </w:tabs>
        <w:ind w:left="4320" w:hanging="360"/>
      </w:pPr>
      <w:rPr>
        <w:rFonts w:ascii="Arial" w:hAnsi="Arial" w:hint="default"/>
      </w:rPr>
    </w:lvl>
    <w:lvl w:ilvl="6" w:tplc="3F18E14E" w:tentative="1">
      <w:start w:val="1"/>
      <w:numFmt w:val="bullet"/>
      <w:lvlText w:val="•"/>
      <w:lvlJc w:val="left"/>
      <w:pPr>
        <w:tabs>
          <w:tab w:val="num" w:pos="5040"/>
        </w:tabs>
        <w:ind w:left="5040" w:hanging="360"/>
      </w:pPr>
      <w:rPr>
        <w:rFonts w:ascii="Arial" w:hAnsi="Arial" w:hint="default"/>
      </w:rPr>
    </w:lvl>
    <w:lvl w:ilvl="7" w:tplc="00C85810" w:tentative="1">
      <w:start w:val="1"/>
      <w:numFmt w:val="bullet"/>
      <w:lvlText w:val="•"/>
      <w:lvlJc w:val="left"/>
      <w:pPr>
        <w:tabs>
          <w:tab w:val="num" w:pos="5760"/>
        </w:tabs>
        <w:ind w:left="5760" w:hanging="360"/>
      </w:pPr>
      <w:rPr>
        <w:rFonts w:ascii="Arial" w:hAnsi="Arial" w:hint="default"/>
      </w:rPr>
    </w:lvl>
    <w:lvl w:ilvl="8" w:tplc="F32ECB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0D7174"/>
    <w:multiLevelType w:val="hybridMultilevel"/>
    <w:tmpl w:val="768E8274"/>
    <w:lvl w:ilvl="0" w:tplc="3C68D800">
      <w:start w:val="1"/>
      <w:numFmt w:val="bullet"/>
      <w:lvlText w:val="•"/>
      <w:lvlJc w:val="left"/>
      <w:pPr>
        <w:tabs>
          <w:tab w:val="num" w:pos="720"/>
        </w:tabs>
        <w:ind w:left="720" w:hanging="360"/>
      </w:pPr>
      <w:rPr>
        <w:rFonts w:ascii="Arial" w:hAnsi="Arial" w:hint="default"/>
      </w:rPr>
    </w:lvl>
    <w:lvl w:ilvl="1" w:tplc="0D9EE6F4" w:tentative="1">
      <w:start w:val="1"/>
      <w:numFmt w:val="bullet"/>
      <w:lvlText w:val="•"/>
      <w:lvlJc w:val="left"/>
      <w:pPr>
        <w:tabs>
          <w:tab w:val="num" w:pos="1440"/>
        </w:tabs>
        <w:ind w:left="1440" w:hanging="360"/>
      </w:pPr>
      <w:rPr>
        <w:rFonts w:ascii="Arial" w:hAnsi="Arial" w:hint="default"/>
      </w:rPr>
    </w:lvl>
    <w:lvl w:ilvl="2" w:tplc="B8064C0C">
      <w:start w:val="1"/>
      <w:numFmt w:val="bullet"/>
      <w:lvlText w:val="•"/>
      <w:lvlJc w:val="left"/>
      <w:pPr>
        <w:tabs>
          <w:tab w:val="num" w:pos="2160"/>
        </w:tabs>
        <w:ind w:left="2160" w:hanging="360"/>
      </w:pPr>
      <w:rPr>
        <w:rFonts w:ascii="Arial" w:hAnsi="Arial" w:hint="default"/>
      </w:rPr>
    </w:lvl>
    <w:lvl w:ilvl="3" w:tplc="DD06CEB0" w:tentative="1">
      <w:start w:val="1"/>
      <w:numFmt w:val="bullet"/>
      <w:lvlText w:val="•"/>
      <w:lvlJc w:val="left"/>
      <w:pPr>
        <w:tabs>
          <w:tab w:val="num" w:pos="2880"/>
        </w:tabs>
        <w:ind w:left="2880" w:hanging="360"/>
      </w:pPr>
      <w:rPr>
        <w:rFonts w:ascii="Arial" w:hAnsi="Arial" w:hint="default"/>
      </w:rPr>
    </w:lvl>
    <w:lvl w:ilvl="4" w:tplc="C02028BC" w:tentative="1">
      <w:start w:val="1"/>
      <w:numFmt w:val="bullet"/>
      <w:lvlText w:val="•"/>
      <w:lvlJc w:val="left"/>
      <w:pPr>
        <w:tabs>
          <w:tab w:val="num" w:pos="3600"/>
        </w:tabs>
        <w:ind w:left="3600" w:hanging="360"/>
      </w:pPr>
      <w:rPr>
        <w:rFonts w:ascii="Arial" w:hAnsi="Arial" w:hint="default"/>
      </w:rPr>
    </w:lvl>
    <w:lvl w:ilvl="5" w:tplc="1CE0482C" w:tentative="1">
      <w:start w:val="1"/>
      <w:numFmt w:val="bullet"/>
      <w:lvlText w:val="•"/>
      <w:lvlJc w:val="left"/>
      <w:pPr>
        <w:tabs>
          <w:tab w:val="num" w:pos="4320"/>
        </w:tabs>
        <w:ind w:left="4320" w:hanging="360"/>
      </w:pPr>
      <w:rPr>
        <w:rFonts w:ascii="Arial" w:hAnsi="Arial" w:hint="default"/>
      </w:rPr>
    </w:lvl>
    <w:lvl w:ilvl="6" w:tplc="46C695A6" w:tentative="1">
      <w:start w:val="1"/>
      <w:numFmt w:val="bullet"/>
      <w:lvlText w:val="•"/>
      <w:lvlJc w:val="left"/>
      <w:pPr>
        <w:tabs>
          <w:tab w:val="num" w:pos="5040"/>
        </w:tabs>
        <w:ind w:left="5040" w:hanging="360"/>
      </w:pPr>
      <w:rPr>
        <w:rFonts w:ascii="Arial" w:hAnsi="Arial" w:hint="default"/>
      </w:rPr>
    </w:lvl>
    <w:lvl w:ilvl="7" w:tplc="6E6A7A7A" w:tentative="1">
      <w:start w:val="1"/>
      <w:numFmt w:val="bullet"/>
      <w:lvlText w:val="•"/>
      <w:lvlJc w:val="left"/>
      <w:pPr>
        <w:tabs>
          <w:tab w:val="num" w:pos="5760"/>
        </w:tabs>
        <w:ind w:left="5760" w:hanging="360"/>
      </w:pPr>
      <w:rPr>
        <w:rFonts w:ascii="Arial" w:hAnsi="Arial" w:hint="default"/>
      </w:rPr>
    </w:lvl>
    <w:lvl w:ilvl="8" w:tplc="198EA7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5E2D8F"/>
    <w:multiLevelType w:val="hybridMultilevel"/>
    <w:tmpl w:val="EDB82B5E"/>
    <w:lvl w:ilvl="0" w:tplc="3996AE3C">
      <w:start w:val="1"/>
      <w:numFmt w:val="bullet"/>
      <w:lvlText w:val="•"/>
      <w:lvlJc w:val="left"/>
      <w:pPr>
        <w:tabs>
          <w:tab w:val="num" w:pos="720"/>
        </w:tabs>
        <w:ind w:left="720" w:hanging="360"/>
      </w:pPr>
      <w:rPr>
        <w:rFonts w:ascii="Arial" w:hAnsi="Arial" w:hint="default"/>
      </w:rPr>
    </w:lvl>
    <w:lvl w:ilvl="1" w:tplc="B0C278F8">
      <w:start w:val="1"/>
      <w:numFmt w:val="bullet"/>
      <w:lvlText w:val="•"/>
      <w:lvlJc w:val="left"/>
      <w:pPr>
        <w:tabs>
          <w:tab w:val="num" w:pos="1440"/>
        </w:tabs>
        <w:ind w:left="1440" w:hanging="360"/>
      </w:pPr>
      <w:rPr>
        <w:rFonts w:ascii="Arial" w:hAnsi="Arial" w:hint="default"/>
      </w:rPr>
    </w:lvl>
    <w:lvl w:ilvl="2" w:tplc="290C1FE2" w:tentative="1">
      <w:start w:val="1"/>
      <w:numFmt w:val="bullet"/>
      <w:lvlText w:val="•"/>
      <w:lvlJc w:val="left"/>
      <w:pPr>
        <w:tabs>
          <w:tab w:val="num" w:pos="2160"/>
        </w:tabs>
        <w:ind w:left="2160" w:hanging="360"/>
      </w:pPr>
      <w:rPr>
        <w:rFonts w:ascii="Arial" w:hAnsi="Arial" w:hint="default"/>
      </w:rPr>
    </w:lvl>
    <w:lvl w:ilvl="3" w:tplc="8C82D268" w:tentative="1">
      <w:start w:val="1"/>
      <w:numFmt w:val="bullet"/>
      <w:lvlText w:val="•"/>
      <w:lvlJc w:val="left"/>
      <w:pPr>
        <w:tabs>
          <w:tab w:val="num" w:pos="2880"/>
        </w:tabs>
        <w:ind w:left="2880" w:hanging="360"/>
      </w:pPr>
      <w:rPr>
        <w:rFonts w:ascii="Arial" w:hAnsi="Arial" w:hint="default"/>
      </w:rPr>
    </w:lvl>
    <w:lvl w:ilvl="4" w:tplc="7CE4D9DC" w:tentative="1">
      <w:start w:val="1"/>
      <w:numFmt w:val="bullet"/>
      <w:lvlText w:val="•"/>
      <w:lvlJc w:val="left"/>
      <w:pPr>
        <w:tabs>
          <w:tab w:val="num" w:pos="3600"/>
        </w:tabs>
        <w:ind w:left="3600" w:hanging="360"/>
      </w:pPr>
      <w:rPr>
        <w:rFonts w:ascii="Arial" w:hAnsi="Arial" w:hint="default"/>
      </w:rPr>
    </w:lvl>
    <w:lvl w:ilvl="5" w:tplc="6F823D76" w:tentative="1">
      <w:start w:val="1"/>
      <w:numFmt w:val="bullet"/>
      <w:lvlText w:val="•"/>
      <w:lvlJc w:val="left"/>
      <w:pPr>
        <w:tabs>
          <w:tab w:val="num" w:pos="4320"/>
        </w:tabs>
        <w:ind w:left="4320" w:hanging="360"/>
      </w:pPr>
      <w:rPr>
        <w:rFonts w:ascii="Arial" w:hAnsi="Arial" w:hint="default"/>
      </w:rPr>
    </w:lvl>
    <w:lvl w:ilvl="6" w:tplc="2D30E394" w:tentative="1">
      <w:start w:val="1"/>
      <w:numFmt w:val="bullet"/>
      <w:lvlText w:val="•"/>
      <w:lvlJc w:val="left"/>
      <w:pPr>
        <w:tabs>
          <w:tab w:val="num" w:pos="5040"/>
        </w:tabs>
        <w:ind w:left="5040" w:hanging="360"/>
      </w:pPr>
      <w:rPr>
        <w:rFonts w:ascii="Arial" w:hAnsi="Arial" w:hint="default"/>
      </w:rPr>
    </w:lvl>
    <w:lvl w:ilvl="7" w:tplc="30F6D6DC" w:tentative="1">
      <w:start w:val="1"/>
      <w:numFmt w:val="bullet"/>
      <w:lvlText w:val="•"/>
      <w:lvlJc w:val="left"/>
      <w:pPr>
        <w:tabs>
          <w:tab w:val="num" w:pos="5760"/>
        </w:tabs>
        <w:ind w:left="5760" w:hanging="360"/>
      </w:pPr>
      <w:rPr>
        <w:rFonts w:ascii="Arial" w:hAnsi="Arial" w:hint="default"/>
      </w:rPr>
    </w:lvl>
    <w:lvl w:ilvl="8" w:tplc="56F8E5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F94951"/>
    <w:multiLevelType w:val="hybridMultilevel"/>
    <w:tmpl w:val="C09EEE4E"/>
    <w:lvl w:ilvl="0" w:tplc="C4A8094C">
      <w:start w:val="1"/>
      <w:numFmt w:val="bullet"/>
      <w:lvlText w:val="•"/>
      <w:lvlJc w:val="left"/>
      <w:pPr>
        <w:tabs>
          <w:tab w:val="num" w:pos="720"/>
        </w:tabs>
        <w:ind w:left="720" w:hanging="360"/>
      </w:pPr>
      <w:rPr>
        <w:rFonts w:ascii="Arial" w:hAnsi="Arial" w:hint="default"/>
      </w:rPr>
    </w:lvl>
    <w:lvl w:ilvl="1" w:tplc="2CC29BD8">
      <w:start w:val="1"/>
      <w:numFmt w:val="bullet"/>
      <w:lvlText w:val="•"/>
      <w:lvlJc w:val="left"/>
      <w:pPr>
        <w:tabs>
          <w:tab w:val="num" w:pos="1440"/>
        </w:tabs>
        <w:ind w:left="1440" w:hanging="360"/>
      </w:pPr>
      <w:rPr>
        <w:rFonts w:ascii="Arial" w:hAnsi="Arial" w:hint="default"/>
      </w:rPr>
    </w:lvl>
    <w:lvl w:ilvl="2" w:tplc="235CF4AC" w:tentative="1">
      <w:start w:val="1"/>
      <w:numFmt w:val="bullet"/>
      <w:lvlText w:val="•"/>
      <w:lvlJc w:val="left"/>
      <w:pPr>
        <w:tabs>
          <w:tab w:val="num" w:pos="2160"/>
        </w:tabs>
        <w:ind w:left="2160" w:hanging="360"/>
      </w:pPr>
      <w:rPr>
        <w:rFonts w:ascii="Arial" w:hAnsi="Arial" w:hint="default"/>
      </w:rPr>
    </w:lvl>
    <w:lvl w:ilvl="3" w:tplc="F40C01F4" w:tentative="1">
      <w:start w:val="1"/>
      <w:numFmt w:val="bullet"/>
      <w:lvlText w:val="•"/>
      <w:lvlJc w:val="left"/>
      <w:pPr>
        <w:tabs>
          <w:tab w:val="num" w:pos="2880"/>
        </w:tabs>
        <w:ind w:left="2880" w:hanging="360"/>
      </w:pPr>
      <w:rPr>
        <w:rFonts w:ascii="Arial" w:hAnsi="Arial" w:hint="default"/>
      </w:rPr>
    </w:lvl>
    <w:lvl w:ilvl="4" w:tplc="2D14C994" w:tentative="1">
      <w:start w:val="1"/>
      <w:numFmt w:val="bullet"/>
      <w:lvlText w:val="•"/>
      <w:lvlJc w:val="left"/>
      <w:pPr>
        <w:tabs>
          <w:tab w:val="num" w:pos="3600"/>
        </w:tabs>
        <w:ind w:left="3600" w:hanging="360"/>
      </w:pPr>
      <w:rPr>
        <w:rFonts w:ascii="Arial" w:hAnsi="Arial" w:hint="default"/>
      </w:rPr>
    </w:lvl>
    <w:lvl w:ilvl="5" w:tplc="EC8AED1E" w:tentative="1">
      <w:start w:val="1"/>
      <w:numFmt w:val="bullet"/>
      <w:lvlText w:val="•"/>
      <w:lvlJc w:val="left"/>
      <w:pPr>
        <w:tabs>
          <w:tab w:val="num" w:pos="4320"/>
        </w:tabs>
        <w:ind w:left="4320" w:hanging="360"/>
      </w:pPr>
      <w:rPr>
        <w:rFonts w:ascii="Arial" w:hAnsi="Arial" w:hint="default"/>
      </w:rPr>
    </w:lvl>
    <w:lvl w:ilvl="6" w:tplc="1C52BBB2" w:tentative="1">
      <w:start w:val="1"/>
      <w:numFmt w:val="bullet"/>
      <w:lvlText w:val="•"/>
      <w:lvlJc w:val="left"/>
      <w:pPr>
        <w:tabs>
          <w:tab w:val="num" w:pos="5040"/>
        </w:tabs>
        <w:ind w:left="5040" w:hanging="360"/>
      </w:pPr>
      <w:rPr>
        <w:rFonts w:ascii="Arial" w:hAnsi="Arial" w:hint="default"/>
      </w:rPr>
    </w:lvl>
    <w:lvl w:ilvl="7" w:tplc="2A567C78" w:tentative="1">
      <w:start w:val="1"/>
      <w:numFmt w:val="bullet"/>
      <w:lvlText w:val="•"/>
      <w:lvlJc w:val="left"/>
      <w:pPr>
        <w:tabs>
          <w:tab w:val="num" w:pos="5760"/>
        </w:tabs>
        <w:ind w:left="5760" w:hanging="360"/>
      </w:pPr>
      <w:rPr>
        <w:rFonts w:ascii="Arial" w:hAnsi="Arial" w:hint="default"/>
      </w:rPr>
    </w:lvl>
    <w:lvl w:ilvl="8" w:tplc="A7D89F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D075B1"/>
    <w:multiLevelType w:val="hybridMultilevel"/>
    <w:tmpl w:val="09F8B6C8"/>
    <w:lvl w:ilvl="0" w:tplc="4E78E4B6">
      <w:start w:val="1"/>
      <w:numFmt w:val="bullet"/>
      <w:lvlText w:val=""/>
      <w:lvlJc w:val="left"/>
      <w:pPr>
        <w:tabs>
          <w:tab w:val="num" w:pos="522"/>
        </w:tabs>
        <w:ind w:left="522" w:hanging="360"/>
      </w:pPr>
      <w:rPr>
        <w:rFonts w:ascii="Wingdings" w:hAnsi="Wingdings"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30FB0"/>
    <w:multiLevelType w:val="hybridMultilevel"/>
    <w:tmpl w:val="2846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806D3"/>
    <w:multiLevelType w:val="hybridMultilevel"/>
    <w:tmpl w:val="EA460232"/>
    <w:lvl w:ilvl="0" w:tplc="A3383968">
      <w:start w:val="1"/>
      <w:numFmt w:val="bullet"/>
      <w:lvlText w:val="•"/>
      <w:lvlJc w:val="left"/>
      <w:pPr>
        <w:tabs>
          <w:tab w:val="num" w:pos="720"/>
        </w:tabs>
        <w:ind w:left="720" w:hanging="360"/>
      </w:pPr>
      <w:rPr>
        <w:rFonts w:ascii="Arial" w:hAnsi="Arial" w:hint="default"/>
      </w:rPr>
    </w:lvl>
    <w:lvl w:ilvl="1" w:tplc="A58A52EA">
      <w:start w:val="1"/>
      <w:numFmt w:val="bullet"/>
      <w:lvlText w:val="•"/>
      <w:lvlJc w:val="left"/>
      <w:pPr>
        <w:tabs>
          <w:tab w:val="num" w:pos="1440"/>
        </w:tabs>
        <w:ind w:left="1440" w:hanging="360"/>
      </w:pPr>
      <w:rPr>
        <w:rFonts w:ascii="Arial" w:hAnsi="Arial" w:hint="default"/>
      </w:rPr>
    </w:lvl>
    <w:lvl w:ilvl="2" w:tplc="60F03224" w:tentative="1">
      <w:start w:val="1"/>
      <w:numFmt w:val="bullet"/>
      <w:lvlText w:val="•"/>
      <w:lvlJc w:val="left"/>
      <w:pPr>
        <w:tabs>
          <w:tab w:val="num" w:pos="2160"/>
        </w:tabs>
        <w:ind w:left="2160" w:hanging="360"/>
      </w:pPr>
      <w:rPr>
        <w:rFonts w:ascii="Arial" w:hAnsi="Arial" w:hint="default"/>
      </w:rPr>
    </w:lvl>
    <w:lvl w:ilvl="3" w:tplc="0D306B30" w:tentative="1">
      <w:start w:val="1"/>
      <w:numFmt w:val="bullet"/>
      <w:lvlText w:val="•"/>
      <w:lvlJc w:val="left"/>
      <w:pPr>
        <w:tabs>
          <w:tab w:val="num" w:pos="2880"/>
        </w:tabs>
        <w:ind w:left="2880" w:hanging="360"/>
      </w:pPr>
      <w:rPr>
        <w:rFonts w:ascii="Arial" w:hAnsi="Arial" w:hint="default"/>
      </w:rPr>
    </w:lvl>
    <w:lvl w:ilvl="4" w:tplc="717AD906" w:tentative="1">
      <w:start w:val="1"/>
      <w:numFmt w:val="bullet"/>
      <w:lvlText w:val="•"/>
      <w:lvlJc w:val="left"/>
      <w:pPr>
        <w:tabs>
          <w:tab w:val="num" w:pos="3600"/>
        </w:tabs>
        <w:ind w:left="3600" w:hanging="360"/>
      </w:pPr>
      <w:rPr>
        <w:rFonts w:ascii="Arial" w:hAnsi="Arial" w:hint="default"/>
      </w:rPr>
    </w:lvl>
    <w:lvl w:ilvl="5" w:tplc="71881128" w:tentative="1">
      <w:start w:val="1"/>
      <w:numFmt w:val="bullet"/>
      <w:lvlText w:val="•"/>
      <w:lvlJc w:val="left"/>
      <w:pPr>
        <w:tabs>
          <w:tab w:val="num" w:pos="4320"/>
        </w:tabs>
        <w:ind w:left="4320" w:hanging="360"/>
      </w:pPr>
      <w:rPr>
        <w:rFonts w:ascii="Arial" w:hAnsi="Arial" w:hint="default"/>
      </w:rPr>
    </w:lvl>
    <w:lvl w:ilvl="6" w:tplc="A33CC880" w:tentative="1">
      <w:start w:val="1"/>
      <w:numFmt w:val="bullet"/>
      <w:lvlText w:val="•"/>
      <w:lvlJc w:val="left"/>
      <w:pPr>
        <w:tabs>
          <w:tab w:val="num" w:pos="5040"/>
        </w:tabs>
        <w:ind w:left="5040" w:hanging="360"/>
      </w:pPr>
      <w:rPr>
        <w:rFonts w:ascii="Arial" w:hAnsi="Arial" w:hint="default"/>
      </w:rPr>
    </w:lvl>
    <w:lvl w:ilvl="7" w:tplc="7BCCD426" w:tentative="1">
      <w:start w:val="1"/>
      <w:numFmt w:val="bullet"/>
      <w:lvlText w:val="•"/>
      <w:lvlJc w:val="left"/>
      <w:pPr>
        <w:tabs>
          <w:tab w:val="num" w:pos="5760"/>
        </w:tabs>
        <w:ind w:left="5760" w:hanging="360"/>
      </w:pPr>
      <w:rPr>
        <w:rFonts w:ascii="Arial" w:hAnsi="Arial" w:hint="default"/>
      </w:rPr>
    </w:lvl>
    <w:lvl w:ilvl="8" w:tplc="50148BE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50"/>
    <w:rsid w:val="000B4E0A"/>
    <w:rsid w:val="00100D99"/>
    <w:rsid w:val="00183DC4"/>
    <w:rsid w:val="004A6564"/>
    <w:rsid w:val="0076177B"/>
    <w:rsid w:val="007665ED"/>
    <w:rsid w:val="00876E62"/>
    <w:rsid w:val="009A4621"/>
    <w:rsid w:val="00AF1FFA"/>
    <w:rsid w:val="00C26950"/>
    <w:rsid w:val="00C65960"/>
    <w:rsid w:val="00D82A87"/>
    <w:rsid w:val="00E2055B"/>
    <w:rsid w:val="00E33717"/>
    <w:rsid w:val="00E67550"/>
    <w:rsid w:val="00F25345"/>
    <w:rsid w:val="00F72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0969"/>
  <w15:docId w15:val="{4AB5089A-0C2C-423B-9E19-73D8F2BF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6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65960"/>
    <w:pPr>
      <w:tabs>
        <w:tab w:val="left" w:pos="936"/>
      </w:tabs>
      <w:ind w:left="936" w:hanging="36"/>
      <w:jc w:val="center"/>
    </w:pPr>
    <w:rPr>
      <w:b/>
      <w:i/>
      <w:sz w:val="28"/>
    </w:rPr>
  </w:style>
  <w:style w:type="character" w:customStyle="1" w:styleId="BodyTextIndent3Char">
    <w:name w:val="Body Text Indent 3 Char"/>
    <w:basedOn w:val="DefaultParagraphFont"/>
    <w:link w:val="BodyTextIndent3"/>
    <w:rsid w:val="00C65960"/>
    <w:rPr>
      <w:rFonts w:ascii="Times New Roman" w:eastAsia="Times New Roman" w:hAnsi="Times New Roman" w:cs="Times New Roman"/>
      <w:b/>
      <w:i/>
      <w:sz w:val="28"/>
      <w:szCs w:val="20"/>
    </w:rPr>
  </w:style>
  <w:style w:type="paragraph" w:styleId="BlockText">
    <w:name w:val="Block Text"/>
    <w:basedOn w:val="Normal"/>
    <w:rsid w:val="00C65960"/>
    <w:pPr>
      <w:tabs>
        <w:tab w:val="left" w:pos="900"/>
      </w:tabs>
      <w:ind w:left="900" w:right="43" w:hanging="900"/>
      <w:jc w:val="both"/>
    </w:pPr>
    <w:rPr>
      <w:rFonts w:ascii="Arial" w:hAnsi="Arial"/>
      <w:sz w:val="24"/>
      <w:lang w:val="en-GB"/>
    </w:rPr>
  </w:style>
  <w:style w:type="paragraph" w:styleId="BalloonText">
    <w:name w:val="Balloon Text"/>
    <w:basedOn w:val="Normal"/>
    <w:link w:val="BalloonTextChar"/>
    <w:uiPriority w:val="99"/>
    <w:semiHidden/>
    <w:unhideWhenUsed/>
    <w:rsid w:val="00C65960"/>
    <w:rPr>
      <w:rFonts w:ascii="Tahoma" w:hAnsi="Tahoma" w:cs="Tahoma"/>
      <w:sz w:val="16"/>
      <w:szCs w:val="16"/>
    </w:rPr>
  </w:style>
  <w:style w:type="character" w:customStyle="1" w:styleId="BalloonTextChar">
    <w:name w:val="Balloon Text Char"/>
    <w:basedOn w:val="DefaultParagraphFont"/>
    <w:link w:val="BalloonText"/>
    <w:uiPriority w:val="99"/>
    <w:semiHidden/>
    <w:rsid w:val="00C659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0634">
      <w:bodyDiv w:val="1"/>
      <w:marLeft w:val="0"/>
      <w:marRight w:val="0"/>
      <w:marTop w:val="0"/>
      <w:marBottom w:val="0"/>
      <w:divBdr>
        <w:top w:val="none" w:sz="0" w:space="0" w:color="auto"/>
        <w:left w:val="none" w:sz="0" w:space="0" w:color="auto"/>
        <w:bottom w:val="none" w:sz="0" w:space="0" w:color="auto"/>
        <w:right w:val="none" w:sz="0" w:space="0" w:color="auto"/>
      </w:divBdr>
      <w:divsChild>
        <w:div w:id="328561889">
          <w:marLeft w:val="1354"/>
          <w:marRight w:val="0"/>
          <w:marTop w:val="75"/>
          <w:marBottom w:val="0"/>
          <w:divBdr>
            <w:top w:val="none" w:sz="0" w:space="0" w:color="auto"/>
            <w:left w:val="none" w:sz="0" w:space="0" w:color="auto"/>
            <w:bottom w:val="none" w:sz="0" w:space="0" w:color="auto"/>
            <w:right w:val="none" w:sz="0" w:space="0" w:color="auto"/>
          </w:divBdr>
        </w:div>
      </w:divsChild>
    </w:div>
    <w:div w:id="641613916">
      <w:bodyDiv w:val="1"/>
      <w:marLeft w:val="0"/>
      <w:marRight w:val="0"/>
      <w:marTop w:val="0"/>
      <w:marBottom w:val="0"/>
      <w:divBdr>
        <w:top w:val="none" w:sz="0" w:space="0" w:color="auto"/>
        <w:left w:val="none" w:sz="0" w:space="0" w:color="auto"/>
        <w:bottom w:val="none" w:sz="0" w:space="0" w:color="auto"/>
        <w:right w:val="none" w:sz="0" w:space="0" w:color="auto"/>
      </w:divBdr>
      <w:divsChild>
        <w:div w:id="1366978909">
          <w:marLeft w:val="806"/>
          <w:marRight w:val="0"/>
          <w:marTop w:val="75"/>
          <w:marBottom w:val="0"/>
          <w:divBdr>
            <w:top w:val="none" w:sz="0" w:space="0" w:color="auto"/>
            <w:left w:val="none" w:sz="0" w:space="0" w:color="auto"/>
            <w:bottom w:val="none" w:sz="0" w:space="0" w:color="auto"/>
            <w:right w:val="none" w:sz="0" w:space="0" w:color="auto"/>
          </w:divBdr>
        </w:div>
      </w:divsChild>
    </w:div>
    <w:div w:id="819805529">
      <w:bodyDiv w:val="1"/>
      <w:marLeft w:val="0"/>
      <w:marRight w:val="0"/>
      <w:marTop w:val="0"/>
      <w:marBottom w:val="0"/>
      <w:divBdr>
        <w:top w:val="none" w:sz="0" w:space="0" w:color="auto"/>
        <w:left w:val="none" w:sz="0" w:space="0" w:color="auto"/>
        <w:bottom w:val="none" w:sz="0" w:space="0" w:color="auto"/>
        <w:right w:val="none" w:sz="0" w:space="0" w:color="auto"/>
      </w:divBdr>
      <w:divsChild>
        <w:div w:id="235091913">
          <w:marLeft w:val="806"/>
          <w:marRight w:val="0"/>
          <w:marTop w:val="75"/>
          <w:marBottom w:val="0"/>
          <w:divBdr>
            <w:top w:val="none" w:sz="0" w:space="0" w:color="auto"/>
            <w:left w:val="none" w:sz="0" w:space="0" w:color="auto"/>
            <w:bottom w:val="none" w:sz="0" w:space="0" w:color="auto"/>
            <w:right w:val="none" w:sz="0" w:space="0" w:color="auto"/>
          </w:divBdr>
        </w:div>
      </w:divsChild>
    </w:div>
    <w:div w:id="1058020126">
      <w:bodyDiv w:val="1"/>
      <w:marLeft w:val="0"/>
      <w:marRight w:val="0"/>
      <w:marTop w:val="0"/>
      <w:marBottom w:val="0"/>
      <w:divBdr>
        <w:top w:val="none" w:sz="0" w:space="0" w:color="auto"/>
        <w:left w:val="none" w:sz="0" w:space="0" w:color="auto"/>
        <w:bottom w:val="none" w:sz="0" w:space="0" w:color="auto"/>
        <w:right w:val="none" w:sz="0" w:space="0" w:color="auto"/>
      </w:divBdr>
      <w:divsChild>
        <w:div w:id="1195994845">
          <w:marLeft w:val="806"/>
          <w:marRight w:val="0"/>
          <w:marTop w:val="75"/>
          <w:marBottom w:val="0"/>
          <w:divBdr>
            <w:top w:val="none" w:sz="0" w:space="0" w:color="auto"/>
            <w:left w:val="none" w:sz="0" w:space="0" w:color="auto"/>
            <w:bottom w:val="none" w:sz="0" w:space="0" w:color="auto"/>
            <w:right w:val="none" w:sz="0" w:space="0" w:color="auto"/>
          </w:divBdr>
        </w:div>
      </w:divsChild>
    </w:div>
    <w:div w:id="1315600566">
      <w:bodyDiv w:val="1"/>
      <w:marLeft w:val="0"/>
      <w:marRight w:val="0"/>
      <w:marTop w:val="0"/>
      <w:marBottom w:val="0"/>
      <w:divBdr>
        <w:top w:val="none" w:sz="0" w:space="0" w:color="auto"/>
        <w:left w:val="none" w:sz="0" w:space="0" w:color="auto"/>
        <w:bottom w:val="none" w:sz="0" w:space="0" w:color="auto"/>
        <w:right w:val="none" w:sz="0" w:space="0" w:color="auto"/>
      </w:divBdr>
      <w:divsChild>
        <w:div w:id="232785769">
          <w:marLeft w:val="806"/>
          <w:marRight w:val="0"/>
          <w:marTop w:val="75"/>
          <w:marBottom w:val="0"/>
          <w:divBdr>
            <w:top w:val="none" w:sz="0" w:space="0" w:color="auto"/>
            <w:left w:val="none" w:sz="0" w:space="0" w:color="auto"/>
            <w:bottom w:val="none" w:sz="0" w:space="0" w:color="auto"/>
            <w:right w:val="none" w:sz="0" w:space="0" w:color="auto"/>
          </w:divBdr>
        </w:div>
      </w:divsChild>
    </w:div>
    <w:div w:id="1340237753">
      <w:bodyDiv w:val="1"/>
      <w:marLeft w:val="0"/>
      <w:marRight w:val="0"/>
      <w:marTop w:val="0"/>
      <w:marBottom w:val="0"/>
      <w:divBdr>
        <w:top w:val="none" w:sz="0" w:space="0" w:color="auto"/>
        <w:left w:val="none" w:sz="0" w:space="0" w:color="auto"/>
        <w:bottom w:val="none" w:sz="0" w:space="0" w:color="auto"/>
        <w:right w:val="none" w:sz="0" w:space="0" w:color="auto"/>
      </w:divBdr>
      <w:divsChild>
        <w:div w:id="484592941">
          <w:marLeft w:val="1354"/>
          <w:marRight w:val="0"/>
          <w:marTop w:val="75"/>
          <w:marBottom w:val="0"/>
          <w:divBdr>
            <w:top w:val="none" w:sz="0" w:space="0" w:color="auto"/>
            <w:left w:val="none" w:sz="0" w:space="0" w:color="auto"/>
            <w:bottom w:val="none" w:sz="0" w:space="0" w:color="auto"/>
            <w:right w:val="none" w:sz="0" w:space="0" w:color="auto"/>
          </w:divBdr>
        </w:div>
      </w:divsChild>
    </w:div>
    <w:div w:id="1772507774">
      <w:bodyDiv w:val="1"/>
      <w:marLeft w:val="0"/>
      <w:marRight w:val="0"/>
      <w:marTop w:val="0"/>
      <w:marBottom w:val="0"/>
      <w:divBdr>
        <w:top w:val="none" w:sz="0" w:space="0" w:color="auto"/>
        <w:left w:val="none" w:sz="0" w:space="0" w:color="auto"/>
        <w:bottom w:val="none" w:sz="0" w:space="0" w:color="auto"/>
        <w:right w:val="none" w:sz="0" w:space="0" w:color="auto"/>
      </w:divBdr>
      <w:divsChild>
        <w:div w:id="467477476">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AMOL CHOUDHARY</cp:lastModifiedBy>
  <cp:revision>2</cp:revision>
  <cp:lastPrinted>2021-10-06T09:24:00Z</cp:lastPrinted>
  <dcterms:created xsi:type="dcterms:W3CDTF">2022-02-22T10:52:00Z</dcterms:created>
  <dcterms:modified xsi:type="dcterms:W3CDTF">2022-02-22T10:52:00Z</dcterms:modified>
</cp:coreProperties>
</file>